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SYLABUS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1"/>
        <w:gridCol w:w="3556"/>
        <w:gridCol w:w="635"/>
        <w:gridCol w:w="2100"/>
        <w:gridCol w:w="2074"/>
        <w:gridCol w:w="578"/>
        <w:gridCol w:w="1074"/>
        <w:tblGridChange w:id="0">
          <w:tblGrid>
            <w:gridCol w:w="661"/>
            <w:gridCol w:w="3556"/>
            <w:gridCol w:w="635"/>
            <w:gridCol w:w="2100"/>
            <w:gridCol w:w="2074"/>
            <w:gridCol w:w="578"/>
            <w:gridCol w:w="1074"/>
          </w:tblGrid>
        </w:tblGridChange>
      </w:tblGrid>
      <w:tr>
        <w:trPr>
          <w:cantSplit w:val="0"/>
          <w:trHeight w:val="413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Nazwa przedmiotu/modułu (zgodna z zatwierdzonym programem studiów na kierunku)</w:t>
            </w:r>
          </w:p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Praktyka w Inspektoracie Weterynaryjnym cz. II</w:t>
            </w:r>
          </w:p>
        </w:tc>
        <w:tc>
          <w:tcPr>
            <w:gridSpan w:val="2"/>
            <w:vMerge w:val="restart"/>
            <w:tcBorders>
              <w:top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Liczba punktów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ECTS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5"/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Nazwa przedmiotu/modułu w j. angielskim</w:t>
            </w:r>
          </w:p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Veterinary inspection practice part I</w:t>
            </w:r>
          </w:p>
        </w:tc>
        <w:tc>
          <w:tcPr>
            <w:gridSpan w:val="2"/>
            <w:vMerge w:val="continue"/>
            <w:tcBorders>
              <w:top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Jednostka(i) realizująca(e) przedmiot/moduł (instytut/katedra)</w:t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Pracownia Weterynaryjnej Ochrony Zdrowia Publicznego (KHZiOS)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Kierownik przedmiotu/modułu</w:t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dr n. wet. Przemysław Racewicz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gridSpan w:val="3"/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Kierunek studiów</w:t>
            </w:r>
          </w:p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weterynaria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Poziom</w:t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Jednolite studia magisterskie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Profil</w:t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praktyczny </w:t>
            </w:r>
          </w:p>
        </w:tc>
        <w:tc>
          <w:tcPr>
            <w:gridSpan w:val="2"/>
            <w:tcBorders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Semestr</w:t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X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3"/>
            <w:tcBorders>
              <w:left w:color="000000" w:space="0" w:sz="12" w:val="single"/>
              <w:bottom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trike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W zakresie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Specjalizacja magisterska</w:t>
            </w:r>
          </w:p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7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RODZAJE ZAJĘĆ I ICH WYMIAR GODZINOWY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(zajęcia zorganizowane i praca własna studenta)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2"/>
            <w:tcBorders>
              <w:left w:color="000000" w:space="0" w:sz="12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Forma studiów: stacjonarne</w:t>
            </w:r>
          </w:p>
        </w:tc>
        <w:tc>
          <w:tcPr>
            <w:tcBorders>
              <w:lef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Forma studiów: niestacjonarne</w:t>
            </w:r>
          </w:p>
        </w:tc>
        <w:tc>
          <w:tcPr>
            <w:tcBorders>
              <w:left w:color="000000" w:space="0" w:sz="0" w:val="nil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2"/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numPr>
                <w:ilvl w:val="0"/>
                <w:numId w:val="1"/>
              </w:numPr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wykłady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C">
            <w:pPr>
              <w:numPr>
                <w:ilvl w:val="0"/>
                <w:numId w:val="4"/>
              </w:numPr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wykłady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2"/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numPr>
                <w:ilvl w:val="0"/>
                <w:numId w:val="1"/>
              </w:numPr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ćwiczenia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80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53">
            <w:pPr>
              <w:numPr>
                <w:ilvl w:val="0"/>
                <w:numId w:val="4"/>
              </w:numPr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ćwiczenia 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2"/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numPr>
                <w:ilvl w:val="0"/>
                <w:numId w:val="1"/>
              </w:numPr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praca własna studenta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5A">
            <w:pPr>
              <w:numPr>
                <w:ilvl w:val="0"/>
                <w:numId w:val="1"/>
              </w:numPr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praca własna studenta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2"/>
            <w:tcBorders>
              <w:left w:color="000000" w:space="0" w:sz="12" w:val="single"/>
              <w:bottom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Łączna liczba godzin:</w:t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80</w:t>
            </w:r>
          </w:p>
        </w:tc>
        <w:tc>
          <w:tcPr>
            <w:gridSpan w:val="3"/>
            <w:tcBorders>
              <w:bottom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Łączna liczba godzin: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7"/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CEL PRZEDMIOTU/MODUŁU</w:t>
            </w:r>
          </w:p>
          <w:p w:rsidR="00000000" w:rsidDel="00000000" w:rsidP="00000000" w:rsidRDefault="00000000" w:rsidRPr="00000000" w14:paraId="00000066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Celem kształcenia jest przygotowanie studentów do pracy w charakterze inspektora weterynarii, poprzez nabycie umiejętności praktycznych, uzupełniających i pogłębiających kompetencje uzyskane przez studenta w trakcie zajęć dydaktycznych w zakresie: znajomości struktury organizacyjnej wojewódzkiego lub powiatowego inspektoratu weterynarii oraz Zakładów Higieny Weterynaryjnej; wykonywania </w:t>
            </w:r>
            <w:r w:rsidDel="00000000" w:rsidR="00000000" w:rsidRPr="00000000">
              <w:rPr>
                <w:rFonts w:ascii="Arial" w:cs="Arial" w:eastAsia="Arial" w:hAnsi="Arial"/>
                <w:color w:val="333333"/>
                <w:sz w:val="20"/>
                <w:szCs w:val="20"/>
                <w:highlight w:val="white"/>
                <w:rtl w:val="0"/>
              </w:rPr>
              <w:t xml:space="preserve">analiz i ocen sytuacji epizootycznej lub bezpieczeństwa: </w:t>
            </w:r>
            <w:r w:rsidDel="00000000" w:rsidR="00000000" w:rsidRPr="00000000">
              <w:rPr>
                <w:rFonts w:ascii="Arial" w:cs="Arial" w:eastAsia="Arial" w:hAnsi="Arial"/>
                <w:color w:val="333333"/>
                <w:sz w:val="20"/>
                <w:szCs w:val="20"/>
                <w:rtl w:val="0"/>
              </w:rPr>
              <w:t xml:space="preserve">produktów pochodzenia zwierzęcego i pasz, w tym spełniania wymagań weterynaryjnych przy ich produkcji i wprowadzaniu na rynek. Oceny bezpieczeństwa żywności zawierającej jednocześnie środki spożywcze pochodzenia niezwierzęcego i produkty pochodzenia zwierzęcego. Zapoznania się z programami dotyczącymi realizacji zadań, w zakresie: zwalczania chorób zakaźnych zwierząt i chorób odzwierzęcych podlegających obowiązkowi zwalczania. Monitorowania chorób odzwierzęcych i odzwierzęcych czynników chorobotwórczych podlegających obowiązkowi monitorowania oraz związanej z nimi oporności na środki przeciwdrobnoustrojowe.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7"/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METODY DYDAKTYCZNE</w:t>
            </w:r>
          </w:p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Asystowanie inspektorom weterynarii podczas codziennych czynności  realizowanych w wojewódzkich, powiatowych inspektoratach weterynarii oraz Zakładach Higieny Weterynaryjnej.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ZAKŁADANE EFEKTY UCZENIA SIĘ PRZEDMIOTU/MODUŁU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Odniesienie</w:t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do kierunkowych efektów uczenia się</w:t>
            </w:r>
          </w:p>
        </w:tc>
      </w:tr>
      <w:tr>
        <w:trPr>
          <w:cantSplit w:val="1"/>
          <w:trHeight w:val="3071" w:hRule="atLeast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Wiedza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E1 - Zna zasady funkcjonowania państwowej służby weterynaryjnej, także w aspekcie ochrony zdrowia publicznego.</w:t>
            </w:r>
          </w:p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E2 - Wskazuje i interpretuje właściwe przepisy prawa, zna zasady wydawania orzeczeń oraz umie sporządzić opinie na potrzeby sądów, organów administracji państwowej, samorządowej i zawodowej.</w:t>
            </w:r>
          </w:p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E3 - Opisuje warunki właściwego zagospodarowywania i utylizacji produktów ubocznych i odpadów związanych z produkcją zwierzęcą</w:t>
            </w:r>
          </w:p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E4 - Opisuje i interpretuje zasady ochrony zdrowia konsumenta przez właściwy nadzór nad produkcją środków spożywczych pochodzenia zwierzęcego.</w:t>
            </w:r>
          </w:p>
          <w:p w:rsidR="00000000" w:rsidDel="00000000" w:rsidP="00000000" w:rsidRDefault="00000000" w:rsidRPr="00000000" w14:paraId="00000082">
            <w:pPr>
              <w:tabs>
                <w:tab w:val="left" w:leader="none" w:pos="2562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E5 - Opisuje, interpretuje i ocenia warunki higieny i technologii produkcji oraz bezpieczeństwa żywności, a także posługuje się właściwymi aktami prawnymi regulującymi nadzór weterynaryjny.</w:t>
            </w:r>
          </w:p>
        </w:tc>
        <w:tc>
          <w:tcPr>
            <w:gridSpan w:val="2"/>
            <w:tcBorders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WP_B.W06</w:t>
            </w:r>
          </w:p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WP_B.W07</w:t>
            </w:r>
          </w:p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WP_B.W08</w:t>
            </w:r>
          </w:p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WP_B.W09</w:t>
            </w:r>
          </w:p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WP_B.W15</w:t>
            </w:r>
          </w:p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WP_B.W16</w:t>
            </w:r>
          </w:p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WP_B.W17</w:t>
            </w:r>
          </w:p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WP_B.W18</w:t>
            </w:r>
          </w:p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WP_B.W20</w:t>
            </w:r>
          </w:p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WP_B.W21</w:t>
            </w:r>
          </w:p>
        </w:tc>
      </w:tr>
      <w:tr>
        <w:trPr>
          <w:cantSplit w:val="1"/>
          <w:trHeight w:val="2406" w:hRule="atLeast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Umiejętności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E7 - Wykazuje zrozumienie potrzeby i konieczności kształcenia ustawicznego dla ciągłego rozwoju zawodowego.</w:t>
            </w:r>
          </w:p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E8 - Ocenia i wprowadza zalecenia minimalizujące ryzyko skażenia, zakażenia krzyżowego i akumulacji czynników chorobotwórczych w obiektach weterynaryjnych i w środowisku.</w:t>
            </w:r>
          </w:p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E9 - Dokumentuje i korzysta ze zgromadzonych informacji związanych ze zdrowiem. </w:t>
            </w:r>
          </w:p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WP_B.U06</w:t>
            </w:r>
          </w:p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WP_B.U08</w:t>
            </w:r>
          </w:p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WP_B.U09</w:t>
            </w:r>
          </w:p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WP_B.U16</w:t>
            </w:r>
          </w:p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WP_B.U19</w:t>
            </w:r>
          </w:p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WP_B.U20</w:t>
            </w:r>
          </w:p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WP_B.U22</w:t>
            </w:r>
          </w:p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WP_B.U23</w:t>
            </w:r>
          </w:p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WP_B.U24</w:t>
            </w:r>
          </w:p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WP_B.U25</w:t>
            </w:r>
          </w:p>
        </w:tc>
      </w:tr>
      <w:tr>
        <w:trPr>
          <w:cantSplit w:val="1"/>
          <w:trHeight w:val="1418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Kompetencje</w:t>
            </w:r>
          </w:p>
          <w:p w:rsidR="00000000" w:rsidDel="00000000" w:rsidP="00000000" w:rsidRDefault="00000000" w:rsidRPr="00000000" w14:paraId="000000A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społeczne</w:t>
            </w:r>
          </w:p>
        </w:tc>
        <w:tc>
          <w:tcPr>
            <w:gridSpan w:val="4"/>
            <w:tcBorders>
              <w:bottom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E10 - Wykazuje odpowiedzialność za podejmowane decyzje wobec ludzi i zwierząt.</w:t>
            </w:r>
          </w:p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E11 - Przestrzega zasad etycznych.</w:t>
            </w:r>
          </w:p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E12 - Posiada nawyk ustawicznego pogłębiania wiedzy i doskonalenia umiejętności oraz posiada świadomość własnych ograniczeń.</w:t>
            </w:r>
          </w:p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WP_D.S01</w:t>
            </w:r>
          </w:p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WP_D.S02</w:t>
            </w:r>
          </w:p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WP_D.S04</w:t>
            </w:r>
          </w:p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WP_D.S14</w:t>
            </w:r>
          </w:p>
        </w:tc>
      </w:tr>
      <w:tr>
        <w:trPr>
          <w:cantSplit w:val="1"/>
          <w:tblHeader w:val="0"/>
        </w:trPr>
        <w:tc>
          <w:tcPr>
            <w:gridSpan w:val="5"/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Metody weryfikacji efektów uczenia się</w:t>
            </w:r>
          </w:p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Zaliczenie ustne na ocenę w oparciu o zapisy w dzienniczku praktyk.</w:t>
            </w:r>
          </w:p>
        </w:tc>
        <w:tc>
          <w:tcPr>
            <w:gridSpan w:val="2"/>
            <w:tcBorders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Symbole efektów przedmiotowych</w:t>
            </w:r>
          </w:p>
          <w:p w:rsidR="00000000" w:rsidDel="00000000" w:rsidP="00000000" w:rsidRDefault="00000000" w:rsidRPr="00000000" w14:paraId="000000B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E1-E12</w:t>
            </w:r>
          </w:p>
        </w:tc>
      </w:tr>
      <w:tr>
        <w:trPr>
          <w:cantSplit w:val="1"/>
          <w:tblHeader w:val="0"/>
        </w:trPr>
        <w:tc>
          <w:tcPr>
            <w:gridSpan w:val="7"/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TREŚCI KSZTAŁCENIA</w:t>
            </w:r>
          </w:p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PRAKTYKI W INSPEKTORATACH WETERYNARII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Struktura organizacyjną Wojewódzkiego lub Powiatowego Inspektoratu Weterynarii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Urzędowe metody zwalczania chorób zakaźnych zwierząt, w tym chorób odzwierzęcych,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Badanie kontrolne zakażeń zwierząt, procedury monitorowania chorób odzwierzęcych i odzwierzęcych czynników chorobotwórczych oraz związanej z nimi oporności na środki przeciwdrobnoustrojowe u zwierząt, w produktach pochodzenia zwierzęcego i paszach,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Zapoznanie się z metodami kontroli weterynaryjnej w handlu i wywozie zwierząt oraz produktów w rozumieniu przepisów o kontroli weterynaryjnej w handlu,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Zapoznanie się z metodami kontroli weterynaryjnej w zakładach produkujących środki spożywcze pochodzenia zwierzęcego.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Zapoznanie się z metodami kontroli weterynaryjnej w zakładach produkujących pasze dla zwierząt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Zapoznanie się z organizacją nadzoru nad jednostkami w których utrzymuje się zwierzęta przeznaczone do rozrodu. (nadzór w zakresie pozyskiwania, konserwacji, obróbki, przechowywania, prowadzenia obrotu lub wykorzystywania materiału biologicznego, jak również prowadzenia punktów kopulacyjnych)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Poznanie regulacji dotyczących identyfikacji i rejestracji zwierząt oraz przemieszczania zwierząt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Zapoznanie się z wymaganiami weterynaryjnymi dotyczących gospodarstw utrzymujących zwierzęta gospodarskie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Zapoznanie się ze sposobem przeprowadzania kontroli nad podmiotami, w których wykonywane są badania doświadczalne na zwierzętach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Poznanie sposobów nadzoru i monitorowania substancji niedozwolonych, pozostałości chemicznych, biologicznych, produktów leczniczych i skażeń promieniotwórczych u zwierząt, w ich wydzielinach i wydalinach, w tkankach lub narządach u zwierząt, w produktach pochodzenia zwierzęcego, w wodzie przeznaczonej do pojenia zwierząt oraz paszach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Zapoznanie się z systemem System Wczesnego Ostrzegania o Niebezpiecznej Żywności i Paszach - RASFF</w:t>
            </w:r>
          </w:p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PRAKTYKI W ZAKŁADACH HIGIENY WETERYNARYJNEJ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Poznanie struktury organizacyjnej Zakładu Higieny Weterynaryjnej (ISO 9001)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Zapoznanie się ze sposobem pobierania oraz przyjmowania prób do badań laboratoryjnych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Diagnostyka mikrobiologiczna: zapoznanie się z metodami hodowli drobnoustrojów: zapoznanie się z rodzajami pożywek (podział i specyfikacja), identyfikacja i różnicowanie drobnoustrojów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Zapoznanie się ze sposobami przygotowywania preparatów mikroskopowych i rodzajami ich barwienia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Zapoznanie się z dostępnymi metodami izolacji DNA bakteryjnego oraz oceny jakościowej i ilościowej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Określenie wrażliwości drobnoustrojów na chemioterapeutyki (wykonanie antybiogramu: metoda dyfuzyjno-krążkowa, metody rozcieńczeniowe, Etest)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Metody hodowli i identyfikacji grzybów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Diagnostyka parazytologiczna (badanie parazytologiczne kału, diagnostyka włośni metodą wytrawiania próbki zbiorczej z zastosowaniem metody magnetycznego mieszania)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Diagnostyka wirusologiczna – ogólne zasady, metody diagnostyczne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Izolacja materiału genetycznego wirusów, ocena jakościowa i ilościowa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Identyfikacja materiału genetycznego z zastosowaniem metody PCR, Real-Time PCR i LAMP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Diagnostyka serologiczna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Wykrywanie antygenów (metody immunoenzymatyczne ELISA, metody immunofluorescencyjne IF, metody radioimmunologiczna RIA; OWD, OKAP, OA, SPA, AGID)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Badanie mikrobiologiczne żywności: ogólna liczba drobnoustrojów, Escherichia coli, gronkowce, Salmonella, Listeria monocytogenes – liczba, Listeria monocytogenes – obecność, Enterobacteriaceae, pleśnie, drożdże, substancje hamujące w mleku, komórki somatyczne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Badanie mikrobiologiczne pasz: Salmonella spp, Enterobacteriaceae, Clostridium perfringens, beztlenowce, ogólna liczba bakterii, grzyby, liczba E.coli, gronkowce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Zapoznanie się z badaniami chemicznymi na obecność substancji niedozwolonych i pozostałości substancji szkodliwych oraz produktów leczniczych w żywności i paszach (leki, metale, pestycydy oraz pomiary skażeń) w żywności i paszach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Zapoznanie się z techniką sekcyjną różnych gatunków zwierząt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Diagnostyka wścieklizny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Ocena sanitarna wody</w:t>
            </w:r>
          </w:p>
        </w:tc>
      </w:tr>
      <w:tr>
        <w:trPr>
          <w:cantSplit w:val="1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Formy i kryteria zaliczenia przedmiotu/modułu</w:t>
            </w:r>
          </w:p>
          <w:p w:rsidR="00000000" w:rsidDel="00000000" w:rsidP="00000000" w:rsidRDefault="00000000" w:rsidRPr="00000000" w14:paraId="000000E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Zaliczenie ustne na ocenę w oparciu o zapisy w dzienniczku praktyk.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Procentowy udział w końcowej ocenie</w:t>
            </w:r>
          </w:p>
          <w:p w:rsidR="00000000" w:rsidDel="00000000" w:rsidP="00000000" w:rsidRDefault="00000000" w:rsidRPr="00000000" w14:paraId="000000E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100%</w:t>
            </w:r>
          </w:p>
        </w:tc>
      </w:tr>
      <w:tr>
        <w:trPr>
          <w:cantSplit w:val="1"/>
          <w:trHeight w:val="511" w:hRule="atLeast"/>
          <w:tblHeader w:val="0"/>
        </w:trPr>
        <w:tc>
          <w:tcPr>
            <w:gridSpan w:val="7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WYKAZ LITERATURY</w:t>
            </w:r>
          </w:p>
          <w:p w:rsidR="00000000" w:rsidDel="00000000" w:rsidP="00000000" w:rsidRDefault="00000000" w:rsidRPr="00000000" w14:paraId="000000EE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Racewicz P., Czyżak-Runowska, G., Felsmann, M., Majewski, M. 2019.: Podręcznik -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Weterynaryjna ochrona zdrowia publicznego. Praca zbiorowa pod redakcją Przemysława Racewicza.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Wydawnictwo Uniwersytetu Przyrodniczego w Poznaniu.</w:t>
            </w:r>
          </w:p>
          <w:p w:rsidR="00000000" w:rsidDel="00000000" w:rsidP="00000000" w:rsidRDefault="00000000" w:rsidRPr="00000000" w14:paraId="000000E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Wybrane zagadnienia z technologii żywności. (M. Mitek, M. Słowiński). Wydawnictwo SGGW Warszawa Mikrobiologia żywności pochodzenia zwierzęcego (Jerzy Molenda). Wydawnictwo UP we Wrocławiu Higiena produkcji żywności (D. Kołożyn – Krajewska). Wydawnictwo SGGW Warszawa</w:t>
            </w:r>
          </w:p>
          <w:p w:rsidR="00000000" w:rsidDel="00000000" w:rsidP="00000000" w:rsidRDefault="00000000" w:rsidRPr="00000000" w14:paraId="000000F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Zarządzanie jakością i bezpieczeństwem żywności (T. Trziszka) Wydawnictwo UP we Wrocławiu Technologia przetwórstwa mięsa (A. Olszewski) Wydawnictwo WNT Warszawa</w:t>
            </w:r>
          </w:p>
        </w:tc>
      </w:tr>
    </w:tbl>
    <w:p w:rsidR="00000000" w:rsidDel="00000000" w:rsidP="00000000" w:rsidRDefault="00000000" w:rsidRPr="00000000" w14:paraId="000000F7">
      <w:pPr>
        <w:tabs>
          <w:tab w:val="left" w:leader="none" w:pos="10490"/>
        </w:tabs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134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­"/>
      <w:lvlJc w:val="left"/>
      <w:pPr>
        <w:ind w:left="0" w:firstLine="170"/>
      </w:pPr>
      <w:rPr>
        <w:rFonts w:ascii="Courier New" w:cs="Courier New" w:eastAsia="Courier New" w:hAnsi="Courier New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­"/>
      <w:lvlJc w:val="left"/>
      <w:pPr>
        <w:ind w:left="0" w:firstLine="170"/>
      </w:pPr>
      <w:rPr>
        <w:rFonts w:ascii="Courier New" w:cs="Courier New" w:eastAsia="Courier New" w:hAnsi="Courier New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514C03"/>
    <w:rPr>
      <w:rFonts w:ascii="Times New Roman" w:eastAsia="Times New Roman" w:hAnsi="Times New Roman"/>
      <w:sz w:val="24"/>
      <w:szCs w:val="24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Tekstprzypisudolnego">
    <w:name w:val="footnote text"/>
    <w:basedOn w:val="Normalny"/>
    <w:link w:val="TekstprzypisudolnegoZnak"/>
    <w:uiPriority w:val="99"/>
    <w:semiHidden w:val="1"/>
    <w:unhideWhenUsed w:val="1"/>
    <w:rsid w:val="00DA3EDE"/>
    <w:rPr>
      <w:sz w:val="20"/>
      <w:szCs w:val="20"/>
    </w:rPr>
  </w:style>
  <w:style w:type="character" w:styleId="TekstprzypisudolnegoZnak" w:customStyle="1">
    <w:name w:val="Tekst przypisu dolnego Znak"/>
    <w:link w:val="Tekstprzypisudolnego"/>
    <w:uiPriority w:val="99"/>
    <w:semiHidden w:val="1"/>
    <w:rsid w:val="00DA3EDE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 w:val="1"/>
    <w:unhideWhenUsed w:val="1"/>
    <w:rsid w:val="00DA3ED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 w:val="1"/>
    <w:unhideWhenUsed w:val="1"/>
    <w:rsid w:val="00DA3EDE"/>
    <w:rPr>
      <w:sz w:val="20"/>
      <w:szCs w:val="20"/>
    </w:rPr>
  </w:style>
  <w:style w:type="character" w:styleId="TekstprzypisukocowegoZnak" w:customStyle="1">
    <w:name w:val="Tekst przypisu końcowego Znak"/>
    <w:link w:val="Tekstprzypisukocowego"/>
    <w:uiPriority w:val="99"/>
    <w:semiHidden w:val="1"/>
    <w:rsid w:val="00DA3EDE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 w:val="1"/>
    <w:unhideWhenUsed w:val="1"/>
    <w:rsid w:val="00DA3ED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CF0198"/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link w:val="Tekstdymka"/>
    <w:uiPriority w:val="99"/>
    <w:semiHidden w:val="1"/>
    <w:rsid w:val="00CF0198"/>
    <w:rPr>
      <w:rFonts w:ascii="Tahoma" w:cs="Tahoma" w:eastAsia="Times New Roman" w:hAnsi="Tahoma"/>
      <w:sz w:val="16"/>
      <w:szCs w:val="16"/>
    </w:rPr>
  </w:style>
  <w:style w:type="paragraph" w:styleId="Akapitzlist">
    <w:name w:val="List Paragraph"/>
    <w:basedOn w:val="Normalny"/>
    <w:uiPriority w:val="34"/>
    <w:qFormat w:val="1"/>
    <w:rsid w:val="003649A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y3goIDjxt2uHPiO3cyk3Z38WuA==">CgMxLjA4AHIhMVkxZENsaEhIWHoxUkR6ZVU5R2sxTl9RZkJDRktubmpq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2024-10-30T21:11:00Z</dcterms:created>
  <dc:creator>user</dc:creator>
</cp:coreProperties>
</file>