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SYLABUS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1"/>
        <w:gridCol w:w="3556"/>
        <w:gridCol w:w="635"/>
        <w:gridCol w:w="2100"/>
        <w:gridCol w:w="2074"/>
        <w:gridCol w:w="578"/>
        <w:gridCol w:w="1074"/>
        <w:tblGridChange w:id="0">
          <w:tblGrid>
            <w:gridCol w:w="661"/>
            <w:gridCol w:w="3556"/>
            <w:gridCol w:w="635"/>
            <w:gridCol w:w="2100"/>
            <w:gridCol w:w="2074"/>
            <w:gridCol w:w="578"/>
            <w:gridCol w:w="1074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Nazwa przedmiotu/modułu (zgodna z zatwierdzonym programem studiów na kierunku)</w:t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Praktyka w Inspektoracie Weterynaryjnym cz. I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Liczba punktów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ECTS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5"/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Nazwa przedmiotu/modułu w j. angielskim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Veterinary inspection practice part I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Jednostka(i) realizująca(e) przedmiot/moduł (instytut/katedra)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Pracownia Weterynaryjnej Ochrony Zdrowia Publicznego (KHZiOS)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Kierownik przedmiotu/modułu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dr n. wet. Przemysław Racewicz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Kierunek studiów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weterynaria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Poziom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Jednolite studia magisterskie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Profil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ogólnoakademicki </w:t>
            </w:r>
          </w:p>
        </w:tc>
        <w:tc>
          <w:tcPr>
            <w:gridSpan w:val="2"/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Semestr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VIII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trike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 zakresie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Specjalizacja magisterska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RODZAJE ZAJĘĆ I ICH WYMIAR GODZINOWY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(zajęcia zorganizowane i praca własna studenta)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2"/>
            <w:tcBorders>
              <w:left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 studiów: stacjonarne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 studiów: niestacjonarne</w:t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wykłady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wykłady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ćwiczenia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ćwiczenia 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praca własna studenta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praca własna studenta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Łączna liczba godzin: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gridSpan w:val="3"/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Łączna liczba godzin: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7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CEL PRZEDMIOTU/MODUŁU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Celem kształcenia jest przygotowanie studentów do pracy w charakterze urzędowego lekarza weterynarii w zakresie: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highlight w:val="white"/>
                <w:rtl w:val="0"/>
              </w:rPr>
              <w:t xml:space="preserve">sprawowania nadzoru nad ubojem zwierząt rzeźnych, w tym badania przedubojowego i poubojowego oraz oceny mięsa; </w:t>
            </w:r>
            <w:r w:rsidDel="00000000" w:rsidR="00000000" w:rsidRPr="00000000">
              <w:rPr>
                <w:rFonts w:ascii="Arial" w:cs="Arial" w:eastAsia="Arial" w:hAnsi="Arial"/>
                <w:color w:val="111111"/>
                <w:sz w:val="20"/>
                <w:szCs w:val="20"/>
                <w:rtl w:val="0"/>
              </w:rPr>
              <w:t xml:space="preserve">badania mięsa zwierząt łownych; sprawowania nadzoru nad rozbiorem, przetwórstwem lub przechowywaniem mięsa, badania laboratoryjnego mięsa na obecność włośni;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zapoznanie się z systemami jakości zdrowotnej żywności. Poznanie zasad dotyczących transportu zwierząt rzeźnych oraz zasad dotyczących zapewnienia dobrostanu zwierząt podczas ich transportu do rzeźni oraz uboju.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7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METODY DYDAKTYCZNE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Praca własna studenta w zakładach ubojowo-rozbiorowych.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ZAKŁADANE EFEKTY UCZENIA SIĘ PRZEDMIOTU/MODUŁU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Odniesienie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kierunkowych efektów uczenia się</w:t>
            </w:r>
          </w:p>
        </w:tc>
      </w:tr>
      <w:tr>
        <w:trPr>
          <w:cantSplit w:val="1"/>
          <w:trHeight w:val="3071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Wiedza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E1 - Zna zasady funkcjonowania państwowej służby weterynaryjnej, także w aspekcie ochrony zdrowia publicznego.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E2 - Opisuje i ocenia warunki zapewniające dobrostan zwierząt.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E3 - Opisuje warunki właściwego zagospodarowywania i utylizacji produktów ubocznych i odpadów związanych z produkcją zwierzęcą.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E4 - Opisuje i interpretuje zasady ochrony zdrowia konsumenta przez właściwy nadzór nad produkcją środków spożywczych pochodzenia zwierzęcego.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E5 - Opisuje, interpretuje i ocenia warunki higieny i technologii produkcji oraz bezpieczeństwa żywności, a także posługuje się właściwymi aktami prawnymi regulującymi nadzór weterynaryjny.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E6 - Przeprowadza badanie przed- i poubojowe zwierząt.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256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E7 - Opisuje i wdraża procedury związane z HACCP (Hazard Analysis and Critical Control Points) — Systemem Analizy Zagrożeń i Krytycznych Punktów Kontroli.</w:t>
              <w:tab/>
            </w:r>
          </w:p>
        </w:tc>
        <w:tc>
          <w:tcPr>
            <w:gridSpan w:val="2"/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WA_B.W09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WA_B.W15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WA_B.W16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WA_B.W17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WA_B.W18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WA_B.W19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WA_B.W20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WA_B.W21</w:t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Umiejętności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E8 - Wykonuje badanie przed- i poubojowe oraz ocenia jakość produktów pochodzenia zwierzęcego.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E9 - Dokumentuje i korzysta ze zgromadzonych informacji związanych ze zdrowiem i dobrostanem, a w niektórych przypadkach również z produkcyjnością stada.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WA_B.U17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WA_B.U18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WA_B.U20</w:t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Kompetencje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społeczne</w:t>
            </w:r>
          </w:p>
        </w:tc>
        <w:tc>
          <w:tcPr>
            <w:gridSpan w:val="4"/>
            <w:tcBorders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E10 - Wykazuje odpowiedzialność za podejmowane decyzje wobec ludzi i zwierząt.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E11 - Przestrzega zasad etycznych.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E12 - Posiada nawyk ustawicznego pogłębiania wiedzy i doskonalenia umiejętności oraz posiada świadomość własnych ograniczeń.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E13 - Wykazuje zrozumienie potrzeby i konieczności kształcenia ustawicznego dla ciągłego rozwoju zawodowego.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WA_D.K01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WA_D.K02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WA_D.K06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Metody weryfikacji efektów uczenia się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Zaliczenie ustne na ocenę w oparciu o zapisy w dzienniczku praktyk.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Symbole efektów przedmiotowych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E1-E13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TREŚCI KSZTAŁCENIA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Celem podstawowym jest: nabycie umiejętności praktycznych, uzupełniających i pogłębiających kompetencje uzyskane przez studenta w trakcie zajęć dydaktycznych szczególnie: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Strukturę organizacyjną zakładu (ubojnia, zakład rozbioru mięsa, zakład przetwórstwa mięsnego, zakład przetwórstwa rybnego, zakład przetwórstwa mleka)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Przepisy BHP obowiązujące w ubojni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Zadania nadzoru sanitarno-weterynaryjnego nad skupem i transportem zwierząt rzeźnych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Zadania nadzoru sanitarno-weterynaryjnego w ubojni zwierząt rzeźnych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Postępowanie formalno-prawne związane z przyjęciem zwierząt rzeźnych do ubojni.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Technikę badania przedubojowego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Metody oszołamiania i uboju zwierząt rzeźnych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Poubojową obróbkę technologiczną tusz zwierzęcych rzeźnych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Organizację i technikę poubojowego badania mięsa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Zasady pobierania próbek mięsa do badań laboratoryjnych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Metody badania trychinoskopowego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Ocenę mięsa zwierząt rzeźnych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Postępowanie z mięsem niezdatnym do spożycia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Postępowanie z materiałami szczególnego ryzyka  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Zasady mycia i dezynfekcji pomieszczeń, maszyn i urządzeń oraz środków transportu zwierząt i mięsa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Zasady oczyszczania ścieków w ubojniach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Wymagania sanitarne dotyczące lokalizacji i budowy ubojni oraz pomieszczeń i linii technologicznych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Zasady prowadzenia dokumentacji sanitarno-weterynaryjnej w ubojni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Aktualne przepisy sanitarno-weterynaryjne.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Zadania nadzoru sanitarno-weterynaryjnego nad przetwarzaną żywnością pochodzenia zwierzęcego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Postepowanie formalno-prawne związane z przyjęciem surowców i materiałów pomocniczych,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Technologię produkcji i magazynowania żywności pochodzenia zwierzęcego w danym zakładzie,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Technologię produkcji mleka i przetworów mlecznych w mleczarni,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Postepowanie formalno-prawne związane z wydaniem lub sprzedażą̨ produktów, systemy zarządzania jakością̨ w zakładzie (GMP/GHP, HACCP, ISO 9001, ISO 22000).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Formy i kryteria zaliczenia przedmiotu/modułu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Zaliczenie ustne na ocenę w oparciu o zapisy w dzienniczku praktyk.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Procentowy udział w końcowej ocenie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100%</w:t>
            </w:r>
          </w:p>
        </w:tc>
      </w:tr>
      <w:tr>
        <w:trPr>
          <w:cantSplit w:val="1"/>
          <w:trHeight w:val="511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WYKAZ LITERATURY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Prost E. K. 2006.: Zwierzęta rzeźne i mięso – ocena i higiena. Wyd. Lubelskie towarzystwo Naukowe.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Odpowiednie przepisy UE i krajowe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Kiszczak L., Szulc M., Tropiło J.: Higiena zwierząt rzeźnych i mięsa. Badania makroskopowe i ocena sanitarno-weterynaryjna zwierząt rzeźnych i mięsa. Wydawnictwo SGGW, Warszawa 2001.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Wilson W. G. 2005.: Wilson’s Practical Meat Inspection. VII Edition, Blackwell Publishing.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Olszewski, A. (2012). Technologia Przetwórstwa Mięsa. Warszawa, Wydawnictwo WNT.</w:t>
            </w:r>
          </w:p>
        </w:tc>
      </w:tr>
    </w:tbl>
    <w:p w:rsidR="00000000" w:rsidDel="00000000" w:rsidP="00000000" w:rsidRDefault="00000000" w:rsidRPr="00000000" w14:paraId="000000E8">
      <w:pPr>
        <w:tabs>
          <w:tab w:val="left" w:leader="none" w:pos="10490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­"/>
      <w:lvlJc w:val="left"/>
      <w:pPr>
        <w:ind w:left="0" w:firstLine="170"/>
      </w:pPr>
      <w:rPr>
        <w:rFonts w:ascii="Courier New" w:cs="Courier New" w:eastAsia="Courier New" w:hAnsi="Courier New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­"/>
      <w:lvlJc w:val="left"/>
      <w:pPr>
        <w:ind w:left="0" w:firstLine="170"/>
      </w:pPr>
      <w:rPr>
        <w:rFonts w:ascii="Courier New" w:cs="Courier New" w:eastAsia="Courier New" w:hAnsi="Courier New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514C03"/>
    <w:rPr>
      <w:rFonts w:ascii="Times New Roman" w:eastAsia="Times New Roman" w:hAnsi="Times New Roman"/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DA3EDE"/>
    <w:rPr>
      <w:sz w:val="20"/>
      <w:szCs w:val="20"/>
    </w:rPr>
  </w:style>
  <w:style w:type="character" w:styleId="TekstprzypisudolnegoZnak" w:customStyle="1">
    <w:name w:val="Tekst przypisu dolnego Znak"/>
    <w:link w:val="Tekstprzypisudolnego"/>
    <w:uiPriority w:val="99"/>
    <w:semiHidden w:val="1"/>
    <w:rsid w:val="00DA3ED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 w:val="1"/>
    <w:unhideWhenUsed w:val="1"/>
    <w:rsid w:val="00DA3E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DA3EDE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 w:val="1"/>
    <w:rsid w:val="00DA3ED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 w:val="1"/>
    <w:unhideWhenUsed w:val="1"/>
    <w:rsid w:val="00DA3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F0198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CF0198"/>
    <w:rPr>
      <w:rFonts w:ascii="Tahoma" w:cs="Tahoma" w:eastAsia="Times New Roman" w:hAnsi="Tahoma"/>
      <w:sz w:val="16"/>
      <w:szCs w:val="16"/>
    </w:rPr>
  </w:style>
  <w:style w:type="paragraph" w:styleId="Akapitzlist">
    <w:name w:val="List Paragraph"/>
    <w:basedOn w:val="Normalny"/>
    <w:uiPriority w:val="34"/>
    <w:qFormat w:val="1"/>
    <w:rsid w:val="003649A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zQFa1ZlIziT/2zpI3dI3m4QXg==">CgMxLjA4AHIhMW14UEFKeno1aW5jbkdRX20zMmwwakUxYi10bG5WLVY4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2024-11-03T11:49:00Z</dcterms:created>
  <dc:creator>user</dc:creator>
</cp:coreProperties>
</file>